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2018 15 vom 2. Juli 2018</w:t>
      </w:r>
    </w:p>
    <w:p>
      <w:r>
        <w:t>GR Gerichte, 2018-07-02, DE</w:t>
      </w:r>
    </w:p>
    <w:p>
      <w:r>
        <w:rPr>
          <w:b/>
        </w:rPr>
        <w:t xml:space="preserve">Quelle: </w:t>
      </w:r>
      <w:r>
        <w:t>https://mcp.opencaselaw.ch/entscheid/gr_gerichte_SK2 2018 15</w:t>
      </w:r>
    </w:p>
    <w:p>
      <w:r>
        <w:t>FR: GR_GERICHTE SK2 2018 15 du 2 juillet 2018</w:t>
      </w:r>
    </w:p>
    <w:p>
      <w:r>
        <w:t>IT: GR_GERICHTE SK2 2018 15 del 2 luglio 2018</w:t>
      </w:r>
    </w:p>
    <w:p>
      <w:pPr>
        <w:pStyle w:val="Heading2"/>
      </w:pPr>
      <w:r>
        <w:t>Regeste</w:t>
      </w:r>
    </w:p>
    <w:p>
      <w:r>
        <w:t>Betrug, Urkundenfälschung etc. | Beschwerde gegen StA, Nichtanhandnahmeverfügung StPO 310 (früher Ablehnungsverfügung)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Da die Beschwerde als offensichtlich unbegründet zu qualifizieren ist, er- geht die vorliegende Entscheidung in einzelrichterlicher Kompetenz (Art. 18 Abs. 3 des Gerichtsorganisationsgesetzes [GOG; BR 173.000] in Verbindung mit Art. 11 Abs. 2 KGV).</w:t>
      </w:r>
    </w:p>
    <w:p>
      <w:r>
        <w:rPr>
          <w:b/>
        </w:rPr>
        <w:t>E. 5</w:t>
      </w:r>
    </w:p>
    <w:p>
      <w:r>
        <w:t>Bei diesem Ausgang des Verfahrens wird der Beschwerdeführer kosten- pflichtig (Art. 428 Abs. 1 StPO). In Anwendung von Art. 8 in Verbindung mit Art. 10 Abs. 1 der Verordnung über die Gerichtsgebühren in Strafverfahren (VGS; BR 350.201) werden die Kosten des Beschwerdeverfahrens vorliegend auf CHF 1'000.00 festgesetzt und dem Beschwerdeführer auferlegt.</w:t>
      </w:r>
    </w:p>
    <w:p>
      <w:r>
        <w:t>Seite 7 — 7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